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3032C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Name__________________________________________________                   Period_________</w:t>
      </w:r>
    </w:p>
    <w:p w:rsidR="003032C6" w:rsidRDefault="003032C6">
      <w:pPr>
        <w:rPr>
          <w:rFonts w:ascii="Century Gothic" w:hAnsi="Century Gothic"/>
          <w:b/>
        </w:rPr>
      </w:pPr>
    </w:p>
    <w:p w:rsidR="003032C6" w:rsidRDefault="003032C6" w:rsidP="003032C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TLC Chromatography Lab &amp; Food Dyes</w:t>
      </w:r>
    </w:p>
    <w:p w:rsidR="003032C6" w:rsidRDefault="003032C6" w:rsidP="003032C6">
      <w:pPr>
        <w:jc w:val="center"/>
        <w:rPr>
          <w:rFonts w:ascii="Century Gothic" w:hAnsi="Century Gothic"/>
          <w:b/>
        </w:rPr>
      </w:pPr>
    </w:p>
    <w:p w:rsidR="003032C6" w:rsidRDefault="003032C6" w:rsidP="003032C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Objective: </w:t>
      </w:r>
    </w:p>
    <w:p w:rsidR="003032C6" w:rsidRDefault="003032C6" w:rsidP="003032C6">
      <w:pPr>
        <w:rPr>
          <w:rFonts w:ascii="Century Gothic" w:hAnsi="Century Gothic"/>
        </w:rPr>
      </w:pPr>
    </w:p>
    <w:p w:rsidR="003032C6" w:rsidRDefault="003032C6" w:rsidP="003032C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technique of thin-layer chromatography (TLC) will be applied to investigate water soluble food dyes.  The TLC plates to be used consist of a thin layer of solid silica gel coated onto a flexible plastic material.  In this lab you will create a standard table for the 7 FD&amp;C dyes and compare these values to evaluate which are present in food coloring. </w:t>
      </w:r>
    </w:p>
    <w:p w:rsidR="003032C6" w:rsidRDefault="003032C6" w:rsidP="003032C6">
      <w:pPr>
        <w:rPr>
          <w:rFonts w:ascii="Century Gothic" w:hAnsi="Century Gothic"/>
        </w:rPr>
      </w:pPr>
    </w:p>
    <w:p w:rsidR="003032C6" w:rsidRDefault="003032C6" w:rsidP="003032C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Background:</w:t>
      </w:r>
    </w:p>
    <w:p w:rsidR="003032C6" w:rsidRDefault="003032C6" w:rsidP="003032C6">
      <w:pPr>
        <w:rPr>
          <w:rFonts w:ascii="Century Gothic" w:hAnsi="Century Gothic"/>
          <w:b/>
        </w:rPr>
      </w:pPr>
    </w:p>
    <w:p w:rsidR="003032C6" w:rsidRDefault="003032C6" w:rsidP="003032C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Imagine! The entire palette of artificial food colors is derived from just seven dyes certified by the Food &amp; Drug Administration for use in foods, drugs, and cosmetics (FD&amp;C).  On the next page, are the names and structures of these seven </w:t>
      </w:r>
      <w:proofErr w:type="gramStart"/>
      <w:r>
        <w:rPr>
          <w:rFonts w:ascii="Century Gothic" w:hAnsi="Century Gothic"/>
        </w:rPr>
        <w:t>dyes.</w:t>
      </w:r>
      <w:proofErr w:type="gramEnd"/>
      <w:r>
        <w:rPr>
          <w:rFonts w:ascii="Century Gothic" w:hAnsi="Century Gothic"/>
        </w:rPr>
        <w:t xml:space="preserve"> We will be studying these dyes with a method known as Thin-Layer Chromatography (TLC).</w:t>
      </w:r>
      <w:r w:rsidR="009F5265">
        <w:rPr>
          <w:rFonts w:ascii="Century Gothic" w:hAnsi="Century Gothic"/>
        </w:rPr>
        <w:t xml:space="preserve"> We will also be looking at commercial food coloring packs with red, yellow, blue, and green coloring. </w:t>
      </w:r>
    </w:p>
    <w:p w:rsidR="009F5265" w:rsidRDefault="009F5265" w:rsidP="003032C6">
      <w:pPr>
        <w:rPr>
          <w:rFonts w:ascii="Century Gothic" w:hAnsi="Century Gothic"/>
        </w:rPr>
      </w:pPr>
    </w:p>
    <w:p w:rsidR="003032C6" w:rsidRDefault="003032C6" w:rsidP="003032C6">
      <w:pPr>
        <w:rPr>
          <w:rFonts w:ascii="Century Gothic" w:hAnsi="Century Gothic"/>
        </w:rPr>
      </w:pPr>
      <w:r>
        <w:rPr>
          <w:rFonts w:ascii="Century Gothic" w:hAnsi="Century Gothic"/>
        </w:rPr>
        <w:t>TLC is much more effective than paper chromatography because the more uniform particles used generally make results more reproducible.  Below are some terms you should be familiar with:</w:t>
      </w:r>
    </w:p>
    <w:p w:rsidR="003032C6" w:rsidRDefault="003032C6" w:rsidP="003032C6">
      <w:pPr>
        <w:rPr>
          <w:rFonts w:ascii="Century Gothic" w:hAnsi="Century Gothic"/>
        </w:rPr>
      </w:pPr>
    </w:p>
    <w:p w:rsidR="003032C6" w:rsidRDefault="003032C6" w:rsidP="003032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Solvent: </w:t>
      </w:r>
      <w:r w:rsidR="009F5265">
        <w:rPr>
          <w:rFonts w:ascii="Century Gothic" w:hAnsi="Century Gothic"/>
        </w:rPr>
        <w:t xml:space="preserve">a solvent is a liquid that you can dissolve a chemical in. </w:t>
      </w:r>
    </w:p>
    <w:p w:rsidR="009F5265" w:rsidRDefault="009F5265" w:rsidP="003032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Stationary Phase: to separate chemicals, we have to have a platform on which to separate them. In our case, the platform is a TLC plate which is made of a silica gel.  The plate will not move throughout the chromatography experiment.</w:t>
      </w:r>
    </w:p>
    <w:p w:rsidR="009F5265" w:rsidRDefault="009F5265" w:rsidP="003032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Mobile phase: a mobile phase is the solvent that carries the chemicals through the stationary phase.  Chemicals don’t move on the TLC plate alone, but if we add a solvent, it can draw the chemicals up through the paper. Our mobile phase will be a 4:1 mixture of </w:t>
      </w:r>
      <w:proofErr w:type="spellStart"/>
      <w:r>
        <w:rPr>
          <w:rFonts w:ascii="Century Gothic" w:hAnsi="Century Gothic"/>
        </w:rPr>
        <w:t>isopropanol</w:t>
      </w:r>
      <w:proofErr w:type="spellEnd"/>
      <w:r>
        <w:rPr>
          <w:rFonts w:ascii="Century Gothic" w:hAnsi="Century Gothic"/>
        </w:rPr>
        <w:t xml:space="preserve"> and concentrated ammonia.</w:t>
      </w:r>
    </w:p>
    <w:p w:rsidR="009F5265" w:rsidRDefault="009F5265" w:rsidP="003032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Retention factor (</w:t>
      </w:r>
      <w:proofErr w:type="spellStart"/>
      <w:proofErr w:type="gramStart"/>
      <w:r>
        <w:rPr>
          <w:rFonts w:ascii="Century Gothic" w:hAnsi="Century Gothic"/>
        </w:rPr>
        <w:t>Rf</w:t>
      </w:r>
      <w:proofErr w:type="spellEnd"/>
      <w:proofErr w:type="gramEnd"/>
      <w:r>
        <w:rPr>
          <w:rFonts w:ascii="Century Gothic" w:hAnsi="Century Gothic"/>
        </w:rPr>
        <w:t xml:space="preserve">)-the distance our chemicals move during chromatography is typically less than the distance the mobile phase moves.  We can measure the distance by using the </w:t>
      </w:r>
      <w:proofErr w:type="spellStart"/>
      <w:proofErr w:type="gramStart"/>
      <w:r>
        <w:rPr>
          <w:rFonts w:ascii="Century Gothic" w:hAnsi="Century Gothic"/>
        </w:rPr>
        <w:t>Rf</w:t>
      </w:r>
      <w:proofErr w:type="spellEnd"/>
      <w:proofErr w:type="gramEnd"/>
      <w:r>
        <w:rPr>
          <w:rFonts w:ascii="Century Gothic" w:hAnsi="Century Gothic"/>
        </w:rPr>
        <w:t xml:space="preserve"> value.  This is the distance a chemical moves on our TLC plate during the separating divided by the distance the mobile phase moves.</w:t>
      </w:r>
    </w:p>
    <w:p w:rsidR="009F5265" w:rsidRDefault="009F5265" w:rsidP="009F5265">
      <w:pPr>
        <w:pStyle w:val="ListParagraph"/>
        <w:jc w:val="center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Rf</w:t>
      </w:r>
      <w:proofErr w:type="spellEnd"/>
      <w:proofErr w:type="gramEnd"/>
      <w:r>
        <w:rPr>
          <w:rFonts w:ascii="Century Gothic" w:hAnsi="Century Gothic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solute travels</m:t>
            </m:r>
          </m:num>
          <m:den>
            <m:r>
              <w:rPr>
                <w:rFonts w:ascii="Cambria Math" w:hAnsi="Cambria Math"/>
              </w:rPr>
              <m:t>distance solvent travels</m:t>
            </m:r>
          </m:den>
        </m:f>
      </m:oMath>
    </w:p>
    <w:p w:rsidR="003032C6" w:rsidRDefault="003032C6" w:rsidP="003032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>
            <wp:extent cx="4714916" cy="4918841"/>
            <wp:effectExtent l="19050" t="0" r="948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00" cy="492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>
            <wp:extent cx="4805198" cy="129855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10" cy="129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>
            <wp:extent cx="4805198" cy="237816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93" cy="237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265" w:rsidRDefault="009F5265" w:rsidP="003032C6">
      <w:pPr>
        <w:rPr>
          <w:rFonts w:ascii="Century Gothic" w:hAnsi="Century Gothic"/>
        </w:rPr>
      </w:pPr>
    </w:p>
    <w:p w:rsidR="00A670E5" w:rsidRDefault="00A670E5" w:rsidP="003032C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Materials:</w:t>
      </w:r>
    </w:p>
    <w:p w:rsidR="00A670E5" w:rsidRDefault="001D6E0C" w:rsidP="00A670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A670E5" w:rsidRPr="00A670E5">
        <w:rPr>
          <w:rFonts w:ascii="Century Gothic" w:hAnsi="Century Gothic"/>
        </w:rPr>
        <w:t xml:space="preserve"> glass jars with lids</w:t>
      </w:r>
    </w:p>
    <w:p w:rsidR="00A670E5" w:rsidRDefault="00A670E5" w:rsidP="00A670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5 TLC plates</w:t>
      </w:r>
    </w:p>
    <w:p w:rsidR="001D6E0C" w:rsidRDefault="001D6E0C" w:rsidP="00A670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forceps</w:t>
      </w:r>
    </w:p>
    <w:p w:rsidR="00A670E5" w:rsidRDefault="00A670E5" w:rsidP="00A670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Pencil</w:t>
      </w:r>
    </w:p>
    <w:p w:rsidR="00A670E5" w:rsidRDefault="00A670E5" w:rsidP="00A670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Ruler</w:t>
      </w:r>
    </w:p>
    <w:p w:rsidR="00A670E5" w:rsidRDefault="00A670E5" w:rsidP="00A670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Capillary tubes (or toothpicks)</w:t>
      </w:r>
    </w:p>
    <w:p w:rsidR="00A670E5" w:rsidRDefault="00A670E5" w:rsidP="00A670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FD&amp;C Dyes</w:t>
      </w:r>
    </w:p>
    <w:p w:rsidR="00A670E5" w:rsidRDefault="00A670E5" w:rsidP="00A670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Pack of Food Coloring</w:t>
      </w:r>
    </w:p>
    <w:p w:rsidR="00A670E5" w:rsidRPr="00A670E5" w:rsidRDefault="00A670E5" w:rsidP="00A670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Solvent System: 4:1 </w:t>
      </w:r>
      <w:proofErr w:type="spellStart"/>
      <w:r>
        <w:rPr>
          <w:rFonts w:ascii="Century Gothic" w:hAnsi="Century Gothic"/>
        </w:rPr>
        <w:t>isopropanol</w:t>
      </w:r>
      <w:proofErr w:type="spellEnd"/>
      <w:r>
        <w:rPr>
          <w:rFonts w:ascii="Century Gothic" w:hAnsi="Century Gothic"/>
        </w:rPr>
        <w:t xml:space="preserve"> : concentrated ammonia</w:t>
      </w:r>
    </w:p>
    <w:p w:rsidR="00A670E5" w:rsidRPr="00A670E5" w:rsidRDefault="00A670E5" w:rsidP="003032C6">
      <w:pPr>
        <w:rPr>
          <w:rFonts w:ascii="Century Gothic" w:hAnsi="Century Gothic"/>
        </w:rPr>
      </w:pPr>
    </w:p>
    <w:p w:rsidR="009F5265" w:rsidRDefault="00A670E5" w:rsidP="003032C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Procedure:</w:t>
      </w:r>
    </w:p>
    <w:p w:rsidR="00A670E5" w:rsidRDefault="00A670E5" w:rsidP="003032C6">
      <w:pPr>
        <w:rPr>
          <w:rFonts w:ascii="Century Gothic" w:hAnsi="Century Gothic"/>
        </w:rPr>
      </w:pPr>
    </w:p>
    <w:p w:rsidR="00A670E5" w:rsidRDefault="00A670E5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Practice your TLC plate spotting on 1 TLC plate with capillary tubes (or toothpicks).  Be sure not to cross contaminate your tubes in this experiment. Your spot should be small and concentrated. Also try lightly drawing a pencil line on the silica plate without damaging the chromatography layer</w:t>
      </w:r>
    </w:p>
    <w:p w:rsidR="00A670E5" w:rsidRDefault="00A670E5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Each lab group will be collecting data for all 11 dyes to be tested. We will compile data as a class at the end of lab. </w:t>
      </w:r>
    </w:p>
    <w:p w:rsidR="00A670E5" w:rsidRDefault="00A670E5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Make a plan of how you will spot your plates. You have 4 plates to get 11 spots. </w:t>
      </w:r>
      <w:r w:rsidR="001D6E0C">
        <w:rPr>
          <w:rFonts w:ascii="Century Gothic" w:hAnsi="Century Gothic"/>
        </w:rPr>
        <w:t xml:space="preserve">Your spots should be at least 1 cm apart.  (leave extra room on the edges) </w:t>
      </w:r>
      <w:r>
        <w:rPr>
          <w:rFonts w:ascii="Century Gothic" w:hAnsi="Century Gothic"/>
        </w:rPr>
        <w:t>Draw your plan below:</w:t>
      </w: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rPr>
          <w:rFonts w:ascii="Century Gothic" w:hAnsi="Century Gothic"/>
        </w:rPr>
      </w:pPr>
    </w:p>
    <w:p w:rsidR="00A670E5" w:rsidRPr="00A670E5" w:rsidRDefault="00A670E5" w:rsidP="00A670E5">
      <w:pPr>
        <w:rPr>
          <w:rFonts w:ascii="Century Gothic" w:hAnsi="Century Gothic"/>
        </w:rPr>
      </w:pPr>
    </w:p>
    <w:p w:rsidR="00A670E5" w:rsidRDefault="00A670E5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color of each of the food dye solutions in Table 1.</w:t>
      </w:r>
    </w:p>
    <w:p w:rsidR="00A670E5" w:rsidRDefault="00A670E5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Using the line method with a pencil, draw an origin line about 1 cm from what the bottom edge of each TLC plate will be.  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Carefully spot your 11 dots per your plan. The spots should be no more than 2 mm in diameter!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Dry your spots by blowing hot air on it. 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Spot again using the same spots. Be VERY careful.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Dry your spots again.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Record a description of the color of each of the dried spots in Table 1.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Mrs. Ellis will place a shallow layer of the chromatography solvent (no more than 0.5 cm) into each of your chromatography chambers. Do not open the jar until absolutely necessary.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Check to make ensure no part of any of the sample spots will be below the surface of the solvent when the plate is inserted. </w:t>
      </w:r>
    </w:p>
    <w:p w:rsidR="001D6E0C" w:rsidRDefault="001D6E0C" w:rsidP="001D6E0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016140" cy="23536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35" cy="235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One beaker at a time, </w:t>
      </w:r>
      <w:proofErr w:type="gramStart"/>
      <w:r>
        <w:rPr>
          <w:rFonts w:ascii="Century Gothic" w:hAnsi="Century Gothic"/>
        </w:rPr>
        <w:t>take</w:t>
      </w:r>
      <w:proofErr w:type="gramEnd"/>
      <w:r>
        <w:rPr>
          <w:rFonts w:ascii="Century Gothic" w:hAnsi="Century Gothic"/>
        </w:rPr>
        <w:t xml:space="preserve"> of the jar lid, and carefully place your TLC plate inside. It is okay to lean it against the sides of the jar. Tightly close the lids.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Do not disturb the chambers during the development process.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Allow the development to proceed for at least 30 min. </w:t>
      </w:r>
      <w:proofErr w:type="gramStart"/>
      <w:r>
        <w:rPr>
          <w:rFonts w:ascii="Century Gothic" w:hAnsi="Century Gothic"/>
        </w:rPr>
        <w:t>Be</w:t>
      </w:r>
      <w:proofErr w:type="gramEnd"/>
      <w:r>
        <w:rPr>
          <w:rFonts w:ascii="Century Gothic" w:hAnsi="Century Gothic"/>
        </w:rPr>
        <w:t xml:space="preserve"> sure to check the progress every 5 minutes or so.  Do not allow the solvent front to move within 1 cm from the top edge of the plate or you will NOT be able to complete your calculations. 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When the development is complete, carefully take off the jar lid and remove the TLC plates and place on a dry paper towel.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IMMEDIATELY mark the solvent front position with your pencil.</w:t>
      </w:r>
    </w:p>
    <w:p w:rsidR="001D6E0C" w:rsidRDefault="001D6E0C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Allow the solvent to evaporate from the TLC plates. </w:t>
      </w:r>
    </w:p>
    <w:p w:rsidR="00332EE4" w:rsidRDefault="00332EE4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While the solvent is evaporating, dispose of the solvent down the sink with water.</w:t>
      </w:r>
    </w:p>
    <w:p w:rsidR="00332EE4" w:rsidRDefault="00332EE4" w:rsidP="00A670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Draw a description below of each chromatogram showing location, size, </w:t>
      </w:r>
      <w:proofErr w:type="gramStart"/>
      <w:r>
        <w:rPr>
          <w:rFonts w:ascii="Century Gothic" w:hAnsi="Century Gothic"/>
        </w:rPr>
        <w:t>color</w:t>
      </w:r>
      <w:proofErr w:type="gramEnd"/>
      <w:r>
        <w:rPr>
          <w:rFonts w:ascii="Century Gothic" w:hAnsi="Century Gothic"/>
        </w:rPr>
        <w:t xml:space="preserve"> of all spots on each plate.  </w:t>
      </w:r>
    </w:p>
    <w:p w:rsidR="00332EE4" w:rsidRDefault="00332EE4" w:rsidP="00332EE4">
      <w:pPr>
        <w:pStyle w:val="ListParagraph"/>
        <w:rPr>
          <w:rFonts w:ascii="Century Gothic" w:hAnsi="Century Gothic"/>
        </w:rPr>
      </w:pPr>
    </w:p>
    <w:p w:rsidR="00332EE4" w:rsidRDefault="00332EE4" w:rsidP="00332EE4">
      <w:pPr>
        <w:pStyle w:val="ListParagraph"/>
        <w:rPr>
          <w:rFonts w:ascii="Century Gothic" w:hAnsi="Century Gothic"/>
        </w:rPr>
      </w:pPr>
    </w:p>
    <w:p w:rsidR="00332EE4" w:rsidRDefault="00332EE4" w:rsidP="00332EE4">
      <w:pPr>
        <w:pStyle w:val="ListParagraph"/>
        <w:rPr>
          <w:rFonts w:ascii="Century Gothic" w:hAnsi="Century Gothic"/>
        </w:rPr>
      </w:pPr>
    </w:p>
    <w:p w:rsidR="00332EE4" w:rsidRDefault="00332EE4" w:rsidP="00332EE4">
      <w:pPr>
        <w:pStyle w:val="ListParagraph"/>
        <w:rPr>
          <w:rFonts w:ascii="Century Gothic" w:hAnsi="Century Gothic"/>
        </w:rPr>
      </w:pPr>
    </w:p>
    <w:p w:rsidR="00332EE4" w:rsidRDefault="00332EE4" w:rsidP="00332EE4">
      <w:pPr>
        <w:pStyle w:val="ListParagraph"/>
        <w:rPr>
          <w:rFonts w:ascii="Century Gothic" w:hAnsi="Century Gothic"/>
        </w:rPr>
      </w:pPr>
    </w:p>
    <w:p w:rsidR="00332EE4" w:rsidRDefault="00332EE4" w:rsidP="00332EE4">
      <w:pPr>
        <w:pStyle w:val="ListParagraph"/>
        <w:rPr>
          <w:rFonts w:ascii="Century Gothic" w:hAnsi="Century Gothic"/>
        </w:rPr>
      </w:pPr>
    </w:p>
    <w:p w:rsidR="00332EE4" w:rsidRDefault="00332EE4" w:rsidP="00332EE4">
      <w:pPr>
        <w:pStyle w:val="ListParagraph"/>
        <w:rPr>
          <w:rFonts w:ascii="Century Gothic" w:hAnsi="Century Gothic"/>
        </w:rPr>
      </w:pPr>
    </w:p>
    <w:p w:rsidR="00332EE4" w:rsidRDefault="00332EE4" w:rsidP="00332EE4">
      <w:pPr>
        <w:pStyle w:val="ListParagraph"/>
        <w:rPr>
          <w:rFonts w:ascii="Century Gothic" w:hAnsi="Century Gothic"/>
        </w:rPr>
      </w:pPr>
    </w:p>
    <w:p w:rsidR="00332EE4" w:rsidRDefault="00332EE4" w:rsidP="00332EE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Mark the position of the centers of all the colored spots on the TLC plates. </w:t>
      </w:r>
    </w:p>
    <w:p w:rsidR="00332EE4" w:rsidRDefault="00332EE4" w:rsidP="00332EE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Measure the distance from the origin line and the solvent front and record it below: </w:t>
      </w:r>
    </w:p>
    <w:p w:rsidR="00332EE4" w:rsidRDefault="00332EE4" w:rsidP="00332EE4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</w:t>
      </w:r>
    </w:p>
    <w:p w:rsidR="00332EE4" w:rsidRDefault="00332EE4" w:rsidP="00332EE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Measure the distance from the origin line to the center of all the colored spots. Record all the measured distance in table 1. </w:t>
      </w:r>
    </w:p>
    <w:p w:rsidR="00332EE4" w:rsidRDefault="00332EE4" w:rsidP="00332EE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Calculate the </w:t>
      </w:r>
      <w:proofErr w:type="spellStart"/>
      <w:proofErr w:type="gramStart"/>
      <w:r>
        <w:rPr>
          <w:rFonts w:ascii="Century Gothic" w:hAnsi="Century Gothic"/>
        </w:rPr>
        <w:t>Rf</w:t>
      </w:r>
      <w:proofErr w:type="spellEnd"/>
      <w:proofErr w:type="gramEnd"/>
      <w:r>
        <w:rPr>
          <w:rFonts w:ascii="Century Gothic" w:hAnsi="Century Gothic"/>
        </w:rPr>
        <w:t xml:space="preserve"> values of all spots. </w:t>
      </w:r>
    </w:p>
    <w:p w:rsidR="00332EE4" w:rsidRDefault="00332EE4" w:rsidP="00332EE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Add data to class excel spreadsheet.</w:t>
      </w:r>
    </w:p>
    <w:p w:rsidR="00332EE4" w:rsidRDefault="00332EE4" w:rsidP="00332EE4">
      <w:pPr>
        <w:ind w:left="360"/>
        <w:rPr>
          <w:rFonts w:ascii="Century Gothic" w:hAnsi="Century Gothic"/>
        </w:rPr>
      </w:pPr>
    </w:p>
    <w:p w:rsidR="00332EE4" w:rsidRPr="00332EE4" w:rsidRDefault="00332EE4" w:rsidP="00332EE4">
      <w:pPr>
        <w:ind w:left="360"/>
        <w:jc w:val="center"/>
        <w:rPr>
          <w:rFonts w:ascii="Century Gothic" w:hAnsi="Century Gothic"/>
          <w:b/>
        </w:rPr>
      </w:pPr>
      <w:r w:rsidRPr="00332EE4">
        <w:rPr>
          <w:rFonts w:ascii="Century Gothic" w:hAnsi="Century Gothic"/>
          <w:b/>
        </w:rPr>
        <w:t>Table 1</w:t>
      </w:r>
    </w:p>
    <w:tbl>
      <w:tblPr>
        <w:tblStyle w:val="TableGrid"/>
        <w:tblW w:w="0" w:type="auto"/>
        <w:tblInd w:w="360" w:type="dxa"/>
        <w:tblLook w:val="04A0"/>
      </w:tblPr>
      <w:tblGrid>
        <w:gridCol w:w="1667"/>
        <w:gridCol w:w="1659"/>
        <w:gridCol w:w="1633"/>
        <w:gridCol w:w="1671"/>
        <w:gridCol w:w="1671"/>
        <w:gridCol w:w="1635"/>
      </w:tblGrid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 Color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Dried Spot Color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Distance solute traveled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Distance solvent traveled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Rf</w:t>
            </w:r>
            <w:proofErr w:type="spellEnd"/>
            <w:r>
              <w:rPr>
                <w:rFonts w:ascii="Century Gothic" w:hAnsi="Century Gothic"/>
              </w:rPr>
              <w:t xml:space="preserve"> value</w:t>
            </w: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FD&amp;C Yellow 5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FD&amp;C Yellow 6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FD&amp;C </w:t>
            </w:r>
          </w:p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 3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FD&amp;C </w:t>
            </w:r>
          </w:p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 40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FD&amp;C</w:t>
            </w:r>
          </w:p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 1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FD&amp;C</w:t>
            </w:r>
          </w:p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 2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FD&amp;C Green 3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Yellow </w:t>
            </w:r>
          </w:p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Coloring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Red </w:t>
            </w:r>
          </w:p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Coloring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Food Coloring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  <w:tr w:rsidR="00332EE4" w:rsidTr="00332EE4"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Green </w:t>
            </w:r>
          </w:p>
          <w:p w:rsidR="00332EE4" w:rsidRDefault="00332EE4" w:rsidP="00332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Coloring</w:t>
            </w: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  <w:tc>
          <w:tcPr>
            <w:tcW w:w="1716" w:type="dxa"/>
          </w:tcPr>
          <w:p w:rsidR="00332EE4" w:rsidRDefault="00332EE4" w:rsidP="00332EE4">
            <w:pPr>
              <w:rPr>
                <w:rFonts w:ascii="Century Gothic" w:hAnsi="Century Gothic"/>
              </w:rPr>
            </w:pPr>
          </w:p>
        </w:tc>
      </w:tr>
    </w:tbl>
    <w:p w:rsidR="00332EE4" w:rsidRDefault="00332EE4" w:rsidP="00332EE4">
      <w:pPr>
        <w:ind w:left="360"/>
        <w:rPr>
          <w:rFonts w:ascii="Century Gothic" w:hAnsi="Century Gothic"/>
        </w:rPr>
      </w:pPr>
    </w:p>
    <w:p w:rsidR="00332EE4" w:rsidRDefault="00332EE4" w:rsidP="00332EE4">
      <w:pPr>
        <w:ind w:left="360"/>
        <w:rPr>
          <w:rFonts w:ascii="Century Gothic" w:hAnsi="Century Gothic"/>
        </w:rPr>
      </w:pPr>
    </w:p>
    <w:p w:rsidR="00332EE4" w:rsidRDefault="00332EE4" w:rsidP="00332EE4">
      <w:pPr>
        <w:ind w:left="360"/>
        <w:rPr>
          <w:rFonts w:ascii="Century Gothic" w:hAnsi="Century Gothic"/>
        </w:rPr>
      </w:pPr>
    </w:p>
    <w:p w:rsidR="00332EE4" w:rsidRDefault="00332EE4" w:rsidP="00332EE4">
      <w:pPr>
        <w:ind w:left="360"/>
        <w:rPr>
          <w:rFonts w:ascii="Century Gothic" w:hAnsi="Century Gothic"/>
        </w:rPr>
      </w:pPr>
    </w:p>
    <w:p w:rsidR="00332EE4" w:rsidRDefault="00332EE4" w:rsidP="00332EE4">
      <w:pPr>
        <w:ind w:left="360"/>
        <w:rPr>
          <w:rFonts w:ascii="Century Gothic" w:hAnsi="Century Gothic"/>
        </w:rPr>
      </w:pPr>
    </w:p>
    <w:p w:rsidR="00332EE4" w:rsidRDefault="00332EE4" w:rsidP="00332EE4">
      <w:pPr>
        <w:ind w:left="360"/>
        <w:rPr>
          <w:rFonts w:ascii="Century Gothic" w:hAnsi="Century Gothic"/>
        </w:rPr>
      </w:pPr>
    </w:p>
    <w:p w:rsidR="00332EE4" w:rsidRDefault="00332EE4" w:rsidP="00332EE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Questions:</w:t>
      </w:r>
    </w:p>
    <w:p w:rsidR="00332EE4" w:rsidRDefault="00332EE4" w:rsidP="00332EE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Why is it important to have the jar closed during the development of the TLC plate?</w:t>
      </w: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P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do you think the different FD&amp;C values different? What do you think controls the </w:t>
      </w:r>
      <w:proofErr w:type="spellStart"/>
      <w:proofErr w:type="gramStart"/>
      <w:r>
        <w:rPr>
          <w:rFonts w:ascii="Century Gothic" w:hAnsi="Century Gothic"/>
        </w:rPr>
        <w:t>Rf</w:t>
      </w:r>
      <w:proofErr w:type="spellEnd"/>
      <w:proofErr w:type="gramEnd"/>
      <w:r>
        <w:rPr>
          <w:rFonts w:ascii="Century Gothic" w:hAnsi="Century Gothic"/>
        </w:rPr>
        <w:t xml:space="preserve"> value?</w:t>
      </w: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P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Predict which FD&amp;C values are in each of the food coloring colors. </w:t>
      </w: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Default="00332EE4" w:rsidP="00332EE4">
      <w:pPr>
        <w:rPr>
          <w:rFonts w:ascii="Century Gothic" w:hAnsi="Century Gothic"/>
        </w:rPr>
      </w:pPr>
    </w:p>
    <w:p w:rsidR="00332EE4" w:rsidRPr="00332EE4" w:rsidRDefault="00332EE4" w:rsidP="00332EE4">
      <w:pPr>
        <w:rPr>
          <w:rFonts w:ascii="Century Gothic" w:hAnsi="Century Gothic"/>
        </w:rPr>
      </w:pPr>
    </w:p>
    <w:p w:rsidR="00332EE4" w:rsidRPr="00332EE4" w:rsidRDefault="00332EE4" w:rsidP="00332EE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Why does green food coloring not contain FD&amp;C Green 3? Make a prediction.</w:t>
      </w:r>
    </w:p>
    <w:sectPr w:rsidR="00332EE4" w:rsidRPr="00332EE4" w:rsidSect="003032C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05"/>
    <w:multiLevelType w:val="hybridMultilevel"/>
    <w:tmpl w:val="1336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3F28"/>
    <w:multiLevelType w:val="hybridMultilevel"/>
    <w:tmpl w:val="EA52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82014"/>
    <w:multiLevelType w:val="hybridMultilevel"/>
    <w:tmpl w:val="29806034"/>
    <w:lvl w:ilvl="0" w:tplc="8C32E17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7490E"/>
    <w:multiLevelType w:val="hybridMultilevel"/>
    <w:tmpl w:val="4288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032C6"/>
    <w:rsid w:val="001D6E0C"/>
    <w:rsid w:val="003032C6"/>
    <w:rsid w:val="00332EE4"/>
    <w:rsid w:val="0066685E"/>
    <w:rsid w:val="006A1401"/>
    <w:rsid w:val="009F5265"/>
    <w:rsid w:val="00A670E5"/>
    <w:rsid w:val="00BA3ABD"/>
    <w:rsid w:val="00C1516C"/>
    <w:rsid w:val="00C35F09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2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2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265"/>
    <w:rPr>
      <w:color w:val="808080"/>
    </w:rPr>
  </w:style>
  <w:style w:type="table" w:styleId="TableGrid">
    <w:name w:val="Table Grid"/>
    <w:basedOn w:val="TableNormal"/>
    <w:uiPriority w:val="59"/>
    <w:rsid w:val="00332E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2013-06-28T15:35:00Z</dcterms:created>
  <dcterms:modified xsi:type="dcterms:W3CDTF">2013-06-28T16:40:00Z</dcterms:modified>
</cp:coreProperties>
</file>